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p w:rsidR="00A61040" w:rsidRPr="00FE39EA" w:rsidRDefault="00A61040" w:rsidP="00A61040">
      <w:pPr>
        <w:pStyle w:val="BodyText"/>
        <w:spacing w:before="240" w:after="240" w:line="276" w:lineRule="auto"/>
        <w:ind w:right="143"/>
        <w:rPr>
          <w:rFonts w:ascii="Century" w:hAnsi="Century" w:cs="Times New Roman"/>
          <w:spacing w:val="-2"/>
          <w:sz w:val="24"/>
          <w:szCs w:val="24"/>
          <w:u w:val="single"/>
        </w:rPr>
      </w:pPr>
    </w:p>
    <w:p w:rsidR="00A61040" w:rsidRPr="0023074E" w:rsidRDefault="00A61040" w:rsidP="00A61040">
      <w:pPr>
        <w:pStyle w:val="BodyText"/>
        <w:spacing w:before="240" w:after="240" w:line="276" w:lineRule="auto"/>
        <w:ind w:right="143"/>
        <w:jc w:val="center"/>
        <w:rPr>
          <w:rFonts w:ascii="Arial Black" w:hAnsi="Arial Black" w:cs="Arial"/>
          <w:sz w:val="48"/>
          <w:szCs w:val="48"/>
        </w:rPr>
      </w:pPr>
      <w:r w:rsidRPr="0023074E">
        <w:rPr>
          <w:rFonts w:ascii="Arial Black" w:hAnsi="Arial Black" w:cs="Arial"/>
          <w:spacing w:val="-2"/>
          <w:sz w:val="48"/>
          <w:szCs w:val="48"/>
        </w:rPr>
        <w:t>2.</w:t>
      </w:r>
      <w:r w:rsidRPr="0023074E">
        <w:rPr>
          <w:rFonts w:ascii="Arial Black" w:hAnsi="Arial Black" w:cs="Arial"/>
          <w:spacing w:val="-2"/>
          <w:sz w:val="48"/>
          <w:szCs w:val="48"/>
          <w:u w:val="single"/>
        </w:rPr>
        <w:t xml:space="preserve"> Budget</w:t>
      </w:r>
      <w:r w:rsidRPr="0023074E">
        <w:rPr>
          <w:rFonts w:ascii="Arial Black" w:hAnsi="Arial Black" w:cs="Arial"/>
          <w:spacing w:val="-19"/>
          <w:sz w:val="48"/>
          <w:szCs w:val="48"/>
          <w:u w:val="single"/>
        </w:rPr>
        <w:t xml:space="preserve"> </w:t>
      </w:r>
      <w:r w:rsidRPr="0023074E">
        <w:rPr>
          <w:rFonts w:ascii="Arial Black" w:hAnsi="Arial Black" w:cs="Arial"/>
          <w:spacing w:val="-2"/>
          <w:sz w:val="48"/>
          <w:szCs w:val="48"/>
          <w:u w:val="single"/>
        </w:rPr>
        <w:t>and</w:t>
      </w:r>
      <w:r w:rsidRPr="0023074E">
        <w:rPr>
          <w:rFonts w:ascii="Arial Black" w:hAnsi="Arial Black" w:cs="Arial"/>
          <w:spacing w:val="-13"/>
          <w:sz w:val="48"/>
          <w:szCs w:val="48"/>
          <w:u w:val="single"/>
        </w:rPr>
        <w:t xml:space="preserve"> </w:t>
      </w:r>
      <w:proofErr w:type="spellStart"/>
      <w:r w:rsidRPr="0023074E">
        <w:rPr>
          <w:rFonts w:ascii="Arial Black" w:hAnsi="Arial Black" w:cs="Arial"/>
          <w:spacing w:val="-2"/>
          <w:sz w:val="48"/>
          <w:szCs w:val="48"/>
          <w:u w:val="single"/>
        </w:rPr>
        <w:t>Programme</w:t>
      </w:r>
      <w:proofErr w:type="spellEnd"/>
    </w:p>
    <w:tbl>
      <w:tblPr>
        <w:tblW w:w="18570"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2844"/>
        <w:gridCol w:w="3686"/>
        <w:gridCol w:w="11186"/>
      </w:tblGrid>
      <w:tr w:rsidR="00A61040" w:rsidRPr="00FE39EA" w:rsidTr="006A0466">
        <w:trPr>
          <w:trHeight w:val="277"/>
        </w:trPr>
        <w:tc>
          <w:tcPr>
            <w:tcW w:w="854" w:type="dxa"/>
          </w:tcPr>
          <w:p w:rsidR="00A61040" w:rsidRPr="00FE39EA" w:rsidRDefault="00A61040" w:rsidP="006A0466">
            <w:pPr>
              <w:pStyle w:val="TableParagraph"/>
              <w:spacing w:before="240" w:after="240" w:line="276" w:lineRule="auto"/>
              <w:ind w:left="4"/>
              <w:jc w:val="both"/>
              <w:rPr>
                <w:rFonts w:ascii="Century" w:hAnsi="Century" w:cs="Times New Roman"/>
                <w:b/>
                <w:sz w:val="24"/>
                <w:szCs w:val="24"/>
              </w:rPr>
            </w:pPr>
            <w:r w:rsidRPr="00FE39EA">
              <w:rPr>
                <w:rFonts w:ascii="Century" w:hAnsi="Century" w:cs="Times New Roman"/>
                <w:b/>
                <w:w w:val="90"/>
                <w:sz w:val="24"/>
                <w:szCs w:val="24"/>
              </w:rPr>
              <w:t>S.</w:t>
            </w:r>
            <w:r w:rsidRPr="00FE39EA">
              <w:rPr>
                <w:rFonts w:ascii="Century" w:hAnsi="Century" w:cs="Times New Roman"/>
                <w:b/>
                <w:spacing w:val="-9"/>
                <w:w w:val="90"/>
                <w:sz w:val="24"/>
                <w:szCs w:val="24"/>
              </w:rPr>
              <w:t xml:space="preserve"> </w:t>
            </w:r>
            <w:r w:rsidRPr="00FE39EA">
              <w:rPr>
                <w:rFonts w:ascii="Century" w:hAnsi="Century" w:cs="Times New Roman"/>
                <w:b/>
                <w:spacing w:val="-5"/>
                <w:sz w:val="24"/>
                <w:szCs w:val="24"/>
              </w:rPr>
              <w:t>No.</w:t>
            </w:r>
          </w:p>
        </w:tc>
        <w:tc>
          <w:tcPr>
            <w:tcW w:w="2844" w:type="dxa"/>
          </w:tcPr>
          <w:p w:rsidR="00A61040" w:rsidRPr="00FE39EA" w:rsidRDefault="00A61040" w:rsidP="006A0466">
            <w:pPr>
              <w:pStyle w:val="TableParagraph"/>
              <w:spacing w:before="240" w:after="240" w:line="276" w:lineRule="auto"/>
              <w:ind w:left="5"/>
              <w:jc w:val="both"/>
              <w:rPr>
                <w:rFonts w:ascii="Century" w:hAnsi="Century" w:cs="Times New Roman"/>
                <w:b/>
                <w:sz w:val="24"/>
                <w:szCs w:val="24"/>
              </w:rPr>
            </w:pPr>
            <w:r w:rsidRPr="00FE39EA">
              <w:rPr>
                <w:rFonts w:ascii="Century" w:hAnsi="Century" w:cs="Times New Roman"/>
                <w:b/>
                <w:spacing w:val="-4"/>
                <w:w w:val="95"/>
                <w:sz w:val="24"/>
                <w:szCs w:val="24"/>
              </w:rPr>
              <w:t>Item</w:t>
            </w:r>
          </w:p>
        </w:tc>
        <w:tc>
          <w:tcPr>
            <w:tcW w:w="3686" w:type="dxa"/>
          </w:tcPr>
          <w:p w:rsidR="00A61040" w:rsidRPr="00FE39EA" w:rsidRDefault="00A61040" w:rsidP="006A0466">
            <w:pPr>
              <w:pStyle w:val="TableParagraph"/>
              <w:spacing w:before="240" w:after="240" w:line="276" w:lineRule="auto"/>
              <w:ind w:left="5"/>
              <w:jc w:val="both"/>
              <w:rPr>
                <w:rFonts w:ascii="Century" w:hAnsi="Century" w:cs="Times New Roman"/>
                <w:b/>
                <w:sz w:val="24"/>
                <w:szCs w:val="24"/>
              </w:rPr>
            </w:pPr>
            <w:r w:rsidRPr="00FE39EA">
              <w:rPr>
                <w:rFonts w:ascii="Century" w:hAnsi="Century" w:cs="Times New Roman"/>
                <w:b/>
                <w:w w:val="90"/>
                <w:sz w:val="24"/>
                <w:szCs w:val="24"/>
              </w:rPr>
              <w:t>Details</w:t>
            </w:r>
            <w:r w:rsidRPr="00FE39EA">
              <w:rPr>
                <w:rFonts w:ascii="Century" w:hAnsi="Century" w:cs="Times New Roman"/>
                <w:b/>
                <w:spacing w:val="1"/>
                <w:sz w:val="24"/>
                <w:szCs w:val="24"/>
              </w:rPr>
              <w:t xml:space="preserve"> </w:t>
            </w:r>
            <w:r w:rsidRPr="00FE39EA">
              <w:rPr>
                <w:rFonts w:ascii="Century" w:hAnsi="Century" w:cs="Times New Roman"/>
                <w:b/>
                <w:w w:val="90"/>
                <w:sz w:val="24"/>
                <w:szCs w:val="24"/>
              </w:rPr>
              <w:t>of</w:t>
            </w:r>
            <w:r w:rsidRPr="00FE39EA">
              <w:rPr>
                <w:rFonts w:ascii="Century" w:hAnsi="Century" w:cs="Times New Roman"/>
                <w:b/>
                <w:spacing w:val="5"/>
                <w:sz w:val="24"/>
                <w:szCs w:val="24"/>
              </w:rPr>
              <w:t xml:space="preserve"> </w:t>
            </w:r>
            <w:r w:rsidRPr="00FE39EA">
              <w:rPr>
                <w:rFonts w:ascii="Century" w:hAnsi="Century" w:cs="Times New Roman"/>
                <w:b/>
                <w:spacing w:val="-2"/>
                <w:w w:val="90"/>
                <w:sz w:val="24"/>
                <w:szCs w:val="24"/>
              </w:rPr>
              <w:t>disclosure</w:t>
            </w:r>
          </w:p>
        </w:tc>
        <w:tc>
          <w:tcPr>
            <w:tcW w:w="11186" w:type="dxa"/>
          </w:tcPr>
          <w:p w:rsidR="00A61040" w:rsidRPr="00FE39EA" w:rsidRDefault="00A61040" w:rsidP="006A0466">
            <w:pPr>
              <w:pStyle w:val="TableParagraph"/>
              <w:spacing w:before="240" w:after="240" w:line="276" w:lineRule="auto"/>
              <w:ind w:left="6"/>
              <w:jc w:val="both"/>
              <w:rPr>
                <w:rFonts w:ascii="Century" w:hAnsi="Century" w:cs="Times New Roman"/>
                <w:b/>
                <w:sz w:val="24"/>
                <w:szCs w:val="24"/>
              </w:rPr>
            </w:pPr>
            <w:r w:rsidRPr="00FE39EA">
              <w:rPr>
                <w:rFonts w:ascii="Century" w:hAnsi="Century" w:cs="Times New Roman"/>
                <w:b/>
                <w:spacing w:val="-2"/>
                <w:sz w:val="24"/>
                <w:szCs w:val="24"/>
              </w:rPr>
              <w:t>Remarks</w:t>
            </w:r>
          </w:p>
        </w:tc>
      </w:tr>
      <w:tr w:rsidR="00A61040" w:rsidRPr="00FE39EA" w:rsidTr="006A0466">
        <w:trPr>
          <w:trHeight w:val="282"/>
        </w:trPr>
        <w:tc>
          <w:tcPr>
            <w:tcW w:w="85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2.1</w:t>
            </w:r>
          </w:p>
        </w:tc>
        <w:tc>
          <w:tcPr>
            <w:tcW w:w="284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Budget allocated to each agency including all plans, proposed expenditure and reports on disbursements made etc. [Section 4(1)(b)(xi)]</w:t>
            </w:r>
          </w:p>
        </w:tc>
        <w:tc>
          <w:tcPr>
            <w:tcW w:w="3686" w:type="dxa"/>
          </w:tcPr>
          <w:p w:rsidR="00A61040" w:rsidRPr="00DA7126" w:rsidRDefault="00A61040" w:rsidP="00A61040">
            <w:pPr>
              <w:pStyle w:val="ListParagraph"/>
              <w:widowControl/>
              <w:numPr>
                <w:ilvl w:val="0"/>
                <w:numId w:val="1"/>
              </w:numPr>
              <w:adjustRightInd w:val="0"/>
              <w:spacing w:before="240" w:after="240" w:line="276" w:lineRule="auto"/>
              <w:ind w:hanging="948"/>
              <w:rPr>
                <w:rFonts w:ascii="Arial" w:eastAsiaTheme="minorHAnsi" w:hAnsi="Arial" w:cs="Arial"/>
                <w:b/>
                <w:bCs/>
                <w:sz w:val="24"/>
                <w:szCs w:val="24"/>
                <w:lang w:val="en-IN" w:bidi="hi-IN"/>
              </w:rPr>
            </w:pPr>
            <w:r w:rsidRPr="00DA7126">
              <w:rPr>
                <w:rFonts w:ascii="Arial" w:eastAsiaTheme="minorHAnsi" w:hAnsi="Arial" w:cs="Arial"/>
                <w:b/>
                <w:bCs/>
                <w:sz w:val="24"/>
                <w:szCs w:val="24"/>
                <w:lang w:val="en-IN" w:bidi="hi-IN"/>
              </w:rPr>
              <w:t>Total Budget for the public authority</w:t>
            </w:r>
          </w:p>
        </w:tc>
        <w:tc>
          <w:tcPr>
            <w:tcW w:w="11186" w:type="dxa"/>
          </w:tcPr>
          <w:p w:rsidR="00A61040" w:rsidRPr="00FE39EA" w:rsidRDefault="009047C4" w:rsidP="006A0466">
            <w:pPr>
              <w:pStyle w:val="TableParagraph"/>
              <w:spacing w:before="240" w:after="240" w:line="276" w:lineRule="auto"/>
              <w:ind w:left="6"/>
              <w:jc w:val="both"/>
              <w:rPr>
                <w:rFonts w:ascii="Century" w:hAnsi="Century" w:cs="Times New Roman"/>
                <w:sz w:val="24"/>
                <w:szCs w:val="24"/>
              </w:rPr>
            </w:pPr>
            <w:hyperlink r:id="rId6" w:history="1">
              <w:r>
                <w:rPr>
                  <w:rStyle w:val="Hyperlink"/>
                </w:rPr>
                <w:t>BALANCE_SHEET_2024.pdf</w:t>
              </w:r>
            </w:hyperlink>
          </w:p>
        </w:tc>
      </w:tr>
      <w:tr w:rsidR="00A61040" w:rsidRPr="00FE39EA" w:rsidTr="006A0466">
        <w:trPr>
          <w:trHeight w:val="2463"/>
        </w:trPr>
        <w:tc>
          <w:tcPr>
            <w:tcW w:w="85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tabs>
                <w:tab w:val="left" w:pos="725"/>
              </w:tabs>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(ii)</w:t>
            </w:r>
            <w:r w:rsidRPr="00640EEA">
              <w:rPr>
                <w:rFonts w:ascii="Arial" w:eastAsiaTheme="minorHAnsi" w:hAnsi="Arial" w:cs="Arial"/>
                <w:b/>
                <w:bCs/>
                <w:sz w:val="24"/>
                <w:szCs w:val="24"/>
                <w:lang w:val="en-IN" w:bidi="hi-IN"/>
              </w:rPr>
              <w:tab/>
              <w:t>Budget for each  agency  and  plan  &amp;  programmes</w:t>
            </w:r>
          </w:p>
        </w:tc>
        <w:tc>
          <w:tcPr>
            <w:tcW w:w="11186" w:type="dxa"/>
            <w:vMerge w:val="restart"/>
          </w:tcPr>
          <w:p w:rsidR="00A61040" w:rsidRPr="00FE39EA" w:rsidRDefault="009047C4" w:rsidP="006A0466">
            <w:pPr>
              <w:pStyle w:val="TableParagraph"/>
              <w:spacing w:before="240" w:after="240" w:line="276" w:lineRule="auto"/>
              <w:jc w:val="both"/>
              <w:rPr>
                <w:rFonts w:ascii="Century" w:hAnsi="Century" w:cs="Times New Roman"/>
                <w:sz w:val="24"/>
                <w:szCs w:val="24"/>
              </w:rPr>
            </w:pPr>
            <w:hyperlink r:id="rId7" w:history="1">
              <w:r>
                <w:rPr>
                  <w:rStyle w:val="Hyperlink"/>
                </w:rPr>
                <w:t>BALANCE_SHEET_2024.pdf</w:t>
              </w:r>
            </w:hyperlink>
          </w:p>
        </w:tc>
      </w:tr>
      <w:tr w:rsidR="00A61040" w:rsidRPr="00FE39EA" w:rsidTr="006A0466">
        <w:trPr>
          <w:trHeight w:val="273"/>
        </w:trPr>
        <w:tc>
          <w:tcPr>
            <w:tcW w:w="85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tabs>
                <w:tab w:val="left" w:pos="725"/>
              </w:tabs>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(iii)</w:t>
            </w:r>
            <w:r w:rsidRPr="00640EEA">
              <w:rPr>
                <w:rFonts w:ascii="Arial" w:eastAsiaTheme="minorHAnsi" w:hAnsi="Arial" w:cs="Arial"/>
                <w:b/>
                <w:bCs/>
                <w:sz w:val="24"/>
                <w:szCs w:val="24"/>
                <w:lang w:val="en-IN" w:bidi="hi-IN"/>
              </w:rPr>
              <w:tab/>
              <w:t>Proposed expenditures</w:t>
            </w:r>
          </w:p>
        </w:tc>
        <w:tc>
          <w:tcPr>
            <w:tcW w:w="11186" w:type="dxa"/>
            <w:vMerge/>
          </w:tcPr>
          <w:p w:rsidR="00A61040" w:rsidRPr="00FE39EA" w:rsidRDefault="00A61040" w:rsidP="006A0466">
            <w:pPr>
              <w:pStyle w:val="TableParagraph"/>
              <w:spacing w:before="240" w:after="240" w:line="276" w:lineRule="auto"/>
              <w:ind w:left="6"/>
              <w:jc w:val="both"/>
              <w:rPr>
                <w:rFonts w:ascii="Century" w:hAnsi="Century" w:cs="Times New Roman"/>
                <w:sz w:val="24"/>
                <w:szCs w:val="24"/>
              </w:rPr>
            </w:pPr>
          </w:p>
        </w:tc>
      </w:tr>
      <w:tr w:rsidR="00A61040" w:rsidRPr="00FE39EA" w:rsidTr="006A0466">
        <w:trPr>
          <w:trHeight w:val="268"/>
        </w:trPr>
        <w:tc>
          <w:tcPr>
            <w:tcW w:w="85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284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Pr>
                <w:rFonts w:ascii="Arial" w:eastAsiaTheme="minorHAnsi" w:hAnsi="Arial" w:cs="Arial"/>
                <w:b/>
                <w:bCs/>
                <w:sz w:val="24"/>
                <w:szCs w:val="24"/>
                <w:lang w:val="en-IN" w:bidi="hi-IN"/>
              </w:rPr>
              <w:t xml:space="preserve">(iv) </w:t>
            </w:r>
            <w:r w:rsidRPr="00640EEA">
              <w:rPr>
                <w:rFonts w:ascii="Arial" w:eastAsiaTheme="minorHAnsi" w:hAnsi="Arial" w:cs="Arial"/>
                <w:b/>
                <w:bCs/>
                <w:sz w:val="24"/>
                <w:szCs w:val="24"/>
                <w:lang w:val="en-IN" w:bidi="hi-IN"/>
              </w:rPr>
              <w:t>Revised budget for each agency, if any</w:t>
            </w:r>
          </w:p>
        </w:tc>
        <w:tc>
          <w:tcPr>
            <w:tcW w:w="11186" w:type="dxa"/>
            <w:vMerge/>
          </w:tcPr>
          <w:p w:rsidR="00A61040" w:rsidRPr="00C715EA" w:rsidRDefault="00A61040" w:rsidP="006A0466">
            <w:pPr>
              <w:pStyle w:val="TableParagraph"/>
              <w:spacing w:before="240" w:after="240" w:line="276" w:lineRule="auto"/>
              <w:ind w:left="6"/>
              <w:jc w:val="both"/>
              <w:rPr>
                <w:rFonts w:ascii="Arial" w:hAnsi="Arial" w:cs="Arial"/>
                <w:sz w:val="24"/>
                <w:szCs w:val="24"/>
              </w:rPr>
            </w:pPr>
          </w:p>
        </w:tc>
      </w:tr>
      <w:tr w:rsidR="00A61040" w:rsidRPr="00FE39EA" w:rsidTr="006A0466">
        <w:trPr>
          <w:trHeight w:val="267"/>
        </w:trPr>
        <w:tc>
          <w:tcPr>
            <w:tcW w:w="85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284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Pr>
                <w:rFonts w:ascii="Arial" w:eastAsiaTheme="minorHAnsi" w:hAnsi="Arial" w:cs="Arial"/>
                <w:b/>
                <w:bCs/>
                <w:sz w:val="24"/>
                <w:szCs w:val="24"/>
                <w:lang w:val="en-IN" w:bidi="hi-IN"/>
              </w:rPr>
              <w:t xml:space="preserve">(v) </w:t>
            </w:r>
            <w:r w:rsidRPr="00640EEA">
              <w:rPr>
                <w:rFonts w:ascii="Arial" w:eastAsiaTheme="minorHAnsi" w:hAnsi="Arial" w:cs="Arial"/>
                <w:b/>
                <w:bCs/>
                <w:sz w:val="24"/>
                <w:szCs w:val="24"/>
                <w:lang w:val="en-IN" w:bidi="hi-IN"/>
              </w:rPr>
              <w:t>Report on disbursements made and place where the related reports are available</w:t>
            </w:r>
          </w:p>
        </w:tc>
        <w:tc>
          <w:tcPr>
            <w:tcW w:w="11186" w:type="dxa"/>
          </w:tcPr>
          <w:p w:rsidR="00A61040" w:rsidRPr="00FE39EA" w:rsidRDefault="00A61040" w:rsidP="006A0466">
            <w:pPr>
              <w:pStyle w:val="TableParagraph"/>
              <w:spacing w:before="240" w:after="240" w:line="276" w:lineRule="auto"/>
              <w:ind w:left="6"/>
              <w:rPr>
                <w:rFonts w:ascii="Century" w:hAnsi="Century" w:cs="Times New Roman"/>
                <w:sz w:val="24"/>
                <w:szCs w:val="24"/>
              </w:rPr>
            </w:pPr>
            <w:r w:rsidRPr="00FE39EA">
              <w:rPr>
                <w:rFonts w:ascii="Century" w:hAnsi="Century" w:cs="Times New Roman"/>
                <w:sz w:val="24"/>
                <w:szCs w:val="24"/>
              </w:rPr>
              <w:t xml:space="preserve"> </w:t>
            </w:r>
            <w:r w:rsidRPr="00361A31">
              <w:rPr>
                <w:rFonts w:ascii="Arial" w:hAnsi="Arial" w:cs="Arial"/>
                <w:sz w:val="24"/>
                <w:szCs w:val="24"/>
              </w:rPr>
              <w:t>Please refer An</w:t>
            </w:r>
            <w:bookmarkStart w:id="0" w:name="_GoBack"/>
            <w:bookmarkEnd w:id="0"/>
            <w:r w:rsidRPr="00361A31">
              <w:rPr>
                <w:rFonts w:ascii="Arial" w:hAnsi="Arial" w:cs="Arial"/>
                <w:sz w:val="24"/>
                <w:szCs w:val="24"/>
              </w:rPr>
              <w:t>nual Audit Report,</w:t>
            </w:r>
            <w:r w:rsidRPr="00FE39EA">
              <w:rPr>
                <w:rFonts w:ascii="Century" w:hAnsi="Century" w:cs="Times New Roman"/>
                <w:sz w:val="24"/>
                <w:szCs w:val="24"/>
              </w:rPr>
              <w:t xml:space="preserve"> </w:t>
            </w:r>
            <w:hyperlink r:id="rId8" w:history="1">
              <w:r w:rsidRPr="003C76AC">
                <w:rPr>
                  <w:rStyle w:val="Hyperlink"/>
                  <w:rFonts w:ascii="Century" w:hAnsi="Century" w:cs="Times New Roman"/>
                  <w:sz w:val="20"/>
                  <w:szCs w:val="20"/>
                </w:rPr>
                <w:t>https://www.aryavart-rrb.com/Annaul_Report/Aryavart4thAnnualReport.pdf</w:t>
              </w:r>
            </w:hyperlink>
            <w:r w:rsidRPr="003C76AC">
              <w:rPr>
                <w:rFonts w:ascii="Century" w:hAnsi="Century" w:cs="Times New Roman"/>
                <w:sz w:val="20"/>
                <w:szCs w:val="20"/>
              </w:rPr>
              <w:t xml:space="preserve"> </w:t>
            </w:r>
          </w:p>
        </w:tc>
      </w:tr>
      <w:tr w:rsidR="00A61040" w:rsidRPr="00FE39EA" w:rsidTr="006A0466">
        <w:trPr>
          <w:trHeight w:val="1546"/>
        </w:trPr>
        <w:tc>
          <w:tcPr>
            <w:tcW w:w="854" w:type="dxa"/>
            <w:vMerge w:val="restart"/>
          </w:tcPr>
          <w:p w:rsidR="00A61040" w:rsidRPr="00FE39EA" w:rsidRDefault="00A61040" w:rsidP="006A0466">
            <w:pPr>
              <w:pStyle w:val="TableParagraph"/>
              <w:spacing w:before="240" w:after="240" w:line="276" w:lineRule="auto"/>
              <w:ind w:left="4"/>
              <w:jc w:val="both"/>
              <w:rPr>
                <w:rFonts w:ascii="Century" w:hAnsi="Century" w:cs="Times New Roman"/>
                <w:sz w:val="24"/>
                <w:szCs w:val="24"/>
              </w:rPr>
            </w:pPr>
            <w:r w:rsidRPr="00FE39EA">
              <w:rPr>
                <w:rFonts w:ascii="Century" w:hAnsi="Century" w:cs="Times New Roman"/>
                <w:spacing w:val="-5"/>
                <w:w w:val="95"/>
                <w:sz w:val="24"/>
                <w:szCs w:val="24"/>
              </w:rPr>
              <w:lastRenderedPageBreak/>
              <w:t>2.2</w:t>
            </w:r>
          </w:p>
        </w:tc>
        <w:tc>
          <w:tcPr>
            <w:tcW w:w="2844" w:type="dxa"/>
            <w:vMerge w:val="restart"/>
          </w:tcPr>
          <w:p w:rsidR="00A61040" w:rsidRPr="00FE39EA" w:rsidRDefault="00A61040" w:rsidP="006A0466">
            <w:pPr>
              <w:widowControl/>
              <w:adjustRightInd w:val="0"/>
              <w:spacing w:before="240" w:after="240" w:line="276" w:lineRule="auto"/>
              <w:rPr>
                <w:rFonts w:ascii="Century" w:hAnsi="Century" w:cs="Times New Roman"/>
                <w:sz w:val="24"/>
                <w:szCs w:val="24"/>
              </w:rPr>
            </w:pPr>
            <w:r w:rsidRPr="00640EEA">
              <w:rPr>
                <w:rFonts w:ascii="Arial" w:eastAsiaTheme="minorHAnsi" w:hAnsi="Arial" w:cs="Arial"/>
                <w:b/>
                <w:bCs/>
                <w:sz w:val="24"/>
                <w:szCs w:val="24"/>
                <w:lang w:val="en-IN" w:bidi="hi-IN"/>
              </w:rPr>
              <w:t>Foreign</w:t>
            </w:r>
            <w:r w:rsidRPr="00640EEA">
              <w:rPr>
                <w:rFonts w:ascii="Arial" w:eastAsiaTheme="minorHAnsi" w:hAnsi="Arial" w:cs="Arial"/>
                <w:b/>
                <w:bCs/>
                <w:sz w:val="24"/>
                <w:szCs w:val="24"/>
                <w:lang w:val="en-IN" w:bidi="hi-IN"/>
              </w:rPr>
              <w:tab/>
              <w:t xml:space="preserve">and domestic tours (F. No. 1/8/2012- IR </w:t>
            </w:r>
            <w:proofErr w:type="spellStart"/>
            <w:r w:rsidRPr="00640EEA">
              <w:rPr>
                <w:rFonts w:ascii="Arial" w:eastAsiaTheme="minorHAnsi" w:hAnsi="Arial" w:cs="Arial"/>
                <w:b/>
                <w:bCs/>
                <w:sz w:val="24"/>
                <w:szCs w:val="24"/>
                <w:lang w:val="en-IN" w:bidi="hi-IN"/>
              </w:rPr>
              <w:t>dt.</w:t>
            </w:r>
            <w:proofErr w:type="spellEnd"/>
            <w:r w:rsidRPr="00640EEA">
              <w:rPr>
                <w:rFonts w:ascii="Arial" w:eastAsiaTheme="minorHAnsi" w:hAnsi="Arial" w:cs="Arial"/>
                <w:b/>
                <w:bCs/>
                <w:sz w:val="24"/>
                <w:szCs w:val="24"/>
                <w:lang w:val="en-IN" w:bidi="hi-IN"/>
              </w:rPr>
              <w:t xml:space="preserve"> 11.9.2012)</w:t>
            </w: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w:t>
            </w:r>
            <w:proofErr w:type="spellStart"/>
            <w:r w:rsidRPr="00640EEA">
              <w:rPr>
                <w:rFonts w:ascii="Arial" w:eastAsiaTheme="minorHAnsi" w:hAnsi="Arial" w:cs="Arial"/>
                <w:b/>
                <w:bCs/>
                <w:sz w:val="24"/>
                <w:szCs w:val="24"/>
                <w:lang w:val="en-IN" w:bidi="hi-IN"/>
              </w:rPr>
              <w:t>i</w:t>
            </w:r>
            <w:proofErr w:type="spellEnd"/>
            <w:r w:rsidRPr="00640EEA">
              <w:rPr>
                <w:rFonts w:ascii="Arial" w:eastAsiaTheme="minorHAnsi" w:hAnsi="Arial" w:cs="Arial"/>
                <w:b/>
                <w:bCs/>
                <w:sz w:val="24"/>
                <w:szCs w:val="24"/>
                <w:lang w:val="en-IN" w:bidi="hi-IN"/>
              </w:rPr>
              <w:t>)</w:t>
            </w:r>
            <w:r w:rsidRPr="00640EEA">
              <w:rPr>
                <w:rFonts w:ascii="Arial" w:eastAsiaTheme="minorHAnsi" w:hAnsi="Arial" w:cs="Arial"/>
                <w:b/>
                <w:bCs/>
                <w:sz w:val="24"/>
                <w:szCs w:val="24"/>
                <w:lang w:val="en-IN" w:bidi="hi-IN"/>
              </w:rPr>
              <w:tab/>
              <w:t>Budget</w:t>
            </w:r>
          </w:p>
        </w:tc>
        <w:tc>
          <w:tcPr>
            <w:tcW w:w="11186" w:type="dxa"/>
          </w:tcPr>
          <w:p w:rsidR="00A61040" w:rsidRPr="00C715EA" w:rsidRDefault="00402B6B" w:rsidP="006A0466">
            <w:pPr>
              <w:pStyle w:val="TableParagraph"/>
              <w:spacing w:before="240" w:after="240" w:line="276" w:lineRule="auto"/>
              <w:ind w:left="6"/>
              <w:jc w:val="both"/>
              <w:rPr>
                <w:rFonts w:ascii="Arial" w:hAnsi="Arial" w:cs="Arial"/>
                <w:sz w:val="24"/>
                <w:szCs w:val="24"/>
              </w:rPr>
            </w:pPr>
            <w:r w:rsidRPr="00402B6B">
              <w:rPr>
                <w:rFonts w:ascii="Arial" w:hAnsi="Arial" w:cs="Arial"/>
                <w:sz w:val="24"/>
                <w:szCs w:val="24"/>
              </w:rPr>
              <w:t>There is no separate budget for Foreign and domestic Tours. It is met out of General Budget as given hereinabove.</w:t>
            </w:r>
          </w:p>
        </w:tc>
      </w:tr>
      <w:tr w:rsidR="00A61040" w:rsidRPr="00FE39EA" w:rsidTr="006A0466">
        <w:trPr>
          <w:trHeight w:val="3820"/>
        </w:trPr>
        <w:tc>
          <w:tcPr>
            <w:tcW w:w="85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2844" w:type="dxa"/>
            <w:vMerge/>
            <w:tcBorders>
              <w:top w:val="nil"/>
            </w:tcBorders>
          </w:tcPr>
          <w:p w:rsidR="00A61040" w:rsidRPr="00FE39EA" w:rsidRDefault="00A61040" w:rsidP="006A0466">
            <w:pPr>
              <w:spacing w:before="240" w:after="240" w:line="276" w:lineRule="auto"/>
              <w:jc w:val="both"/>
              <w:rPr>
                <w:rFonts w:ascii="Century" w:hAnsi="Century" w:cs="Times New Roman"/>
                <w:sz w:val="24"/>
                <w:szCs w:val="24"/>
              </w:rPr>
            </w:pP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Foreign and domestic Tours by ministries and officials of the rank of Joint Secretary to the Government and above, as well as the heads of the Department. Places visited The period of visit</w:t>
            </w: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The number of members in the official delegation Expenditure on the visit</w:t>
            </w:r>
          </w:p>
        </w:tc>
        <w:tc>
          <w:tcPr>
            <w:tcW w:w="11186" w:type="dxa"/>
          </w:tcPr>
          <w:p w:rsidR="00A61040" w:rsidRPr="00C715EA" w:rsidRDefault="00402B6B" w:rsidP="006A0466">
            <w:pPr>
              <w:pStyle w:val="TableParagraph"/>
              <w:spacing w:before="240" w:after="240" w:line="276" w:lineRule="auto"/>
              <w:ind w:left="6"/>
              <w:jc w:val="both"/>
              <w:rPr>
                <w:rFonts w:ascii="Arial" w:hAnsi="Arial" w:cs="Arial"/>
                <w:sz w:val="24"/>
                <w:szCs w:val="24"/>
              </w:rPr>
            </w:pPr>
            <w:r w:rsidRPr="00402B6B">
              <w:rPr>
                <w:rFonts w:ascii="Arial" w:hAnsi="Arial" w:cs="Arial"/>
                <w:sz w:val="24"/>
                <w:szCs w:val="24"/>
              </w:rPr>
              <w:t>There is no separate budget for Foreign and domestic Tours. It is met out of General Budget as given hereinabove.</w:t>
            </w:r>
          </w:p>
        </w:tc>
      </w:tr>
      <w:tr w:rsidR="00A61040" w:rsidRPr="00FE39EA" w:rsidTr="006A0466">
        <w:trPr>
          <w:trHeight w:val="1935"/>
        </w:trPr>
        <w:tc>
          <w:tcPr>
            <w:tcW w:w="854" w:type="dxa"/>
          </w:tcPr>
          <w:p w:rsidR="00A61040" w:rsidRPr="00FE39EA" w:rsidRDefault="00A61040" w:rsidP="006A0466">
            <w:pPr>
              <w:pStyle w:val="TableParagraph"/>
              <w:spacing w:before="240" w:after="240" w:line="276" w:lineRule="auto"/>
              <w:jc w:val="both"/>
              <w:rPr>
                <w:rFonts w:ascii="Century" w:hAnsi="Century" w:cs="Times New Roman"/>
                <w:sz w:val="24"/>
                <w:szCs w:val="24"/>
              </w:rPr>
            </w:pPr>
          </w:p>
        </w:tc>
        <w:tc>
          <w:tcPr>
            <w:tcW w:w="2844" w:type="dxa"/>
          </w:tcPr>
          <w:p w:rsidR="00A61040" w:rsidRPr="00FE39EA" w:rsidRDefault="00A61040" w:rsidP="006A0466">
            <w:pPr>
              <w:pStyle w:val="TableParagraph"/>
              <w:spacing w:before="240" w:after="240" w:line="276" w:lineRule="auto"/>
              <w:jc w:val="both"/>
              <w:rPr>
                <w:rFonts w:ascii="Century" w:hAnsi="Century" w:cs="Times New Roman"/>
                <w:sz w:val="24"/>
                <w:szCs w:val="24"/>
              </w:rPr>
            </w:pPr>
          </w:p>
        </w:tc>
        <w:tc>
          <w:tcPr>
            <w:tcW w:w="3686" w:type="dxa"/>
          </w:tcPr>
          <w:p w:rsidR="00A61040" w:rsidRPr="00FE39EA" w:rsidRDefault="00A61040" w:rsidP="006A0466">
            <w:pPr>
              <w:widowControl/>
              <w:adjustRightInd w:val="0"/>
              <w:spacing w:before="240" w:after="240" w:line="276" w:lineRule="auto"/>
              <w:rPr>
                <w:rFonts w:ascii="Century" w:hAnsi="Century" w:cs="Times New Roman"/>
                <w:sz w:val="24"/>
                <w:szCs w:val="24"/>
              </w:rPr>
            </w:pPr>
            <w:r w:rsidRPr="00640EEA">
              <w:rPr>
                <w:rFonts w:ascii="Arial" w:eastAsiaTheme="minorHAnsi" w:hAnsi="Arial" w:cs="Arial"/>
                <w:b/>
                <w:bCs/>
                <w:sz w:val="24"/>
                <w:szCs w:val="24"/>
                <w:lang w:val="en-IN" w:bidi="hi-IN"/>
              </w:rPr>
              <w:t>Information related to procurements Notice/tender enquires, and corrigenda if any thereon, Details of the bids awarded comprising the names of the suppliers of goods/ services being procured, The works contracts concluded – in any such combination of the above- and The rate /rates and the total amount at which such procurement or works contract is to be executed.</w:t>
            </w:r>
          </w:p>
        </w:tc>
        <w:tc>
          <w:tcPr>
            <w:tcW w:w="11186" w:type="dxa"/>
          </w:tcPr>
          <w:p w:rsidR="00A61040" w:rsidRPr="00FE39EA" w:rsidRDefault="00A61040" w:rsidP="006A0466">
            <w:pPr>
              <w:pStyle w:val="TableParagraph"/>
              <w:spacing w:before="240" w:after="240" w:line="276" w:lineRule="auto"/>
              <w:ind w:left="6"/>
              <w:jc w:val="both"/>
              <w:rPr>
                <w:rFonts w:ascii="Century" w:hAnsi="Century" w:cs="Times New Roman"/>
                <w:sz w:val="24"/>
                <w:szCs w:val="24"/>
              </w:rPr>
            </w:pPr>
            <w:r w:rsidRPr="00FE39EA">
              <w:rPr>
                <w:rFonts w:ascii="Century" w:hAnsi="Century" w:cs="Times New Roman"/>
                <w:w w:val="90"/>
                <w:sz w:val="24"/>
                <w:szCs w:val="24"/>
              </w:rPr>
              <w:t>“</w:t>
            </w:r>
            <w:r w:rsidRPr="00C715EA">
              <w:rPr>
                <w:rFonts w:ascii="Arial" w:hAnsi="Arial" w:cs="Arial"/>
                <w:sz w:val="24"/>
                <w:szCs w:val="24"/>
              </w:rPr>
              <w:t xml:space="preserve">Tender” Tab </w:t>
            </w:r>
            <w:hyperlink r:id="rId9">
              <w:r w:rsidRPr="00FE39EA">
                <w:rPr>
                  <w:rFonts w:ascii="Century" w:hAnsi="Century" w:cs="Times New Roman"/>
                  <w:color w:val="0462C1"/>
                  <w:w w:val="90"/>
                  <w:sz w:val="24"/>
                  <w:szCs w:val="24"/>
                  <w:u w:val="single" w:color="0462C1"/>
                </w:rPr>
                <w:t>https://www.aryavart-</w:t>
              </w:r>
              <w:r w:rsidRPr="00FE39EA">
                <w:rPr>
                  <w:rFonts w:ascii="Century" w:hAnsi="Century" w:cs="Times New Roman"/>
                  <w:color w:val="0462C1"/>
                  <w:spacing w:val="-2"/>
                  <w:w w:val="90"/>
                  <w:sz w:val="24"/>
                  <w:szCs w:val="24"/>
                  <w:u w:val="single" w:color="0462C1"/>
                </w:rPr>
                <w:t>rrb.com/tenders.html</w:t>
              </w:r>
            </w:hyperlink>
          </w:p>
        </w:tc>
      </w:tr>
      <w:tr w:rsidR="00A61040" w:rsidRPr="00FE39EA" w:rsidTr="006A0466">
        <w:trPr>
          <w:trHeight w:val="1617"/>
        </w:trPr>
        <w:tc>
          <w:tcPr>
            <w:tcW w:w="85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lastRenderedPageBreak/>
              <w:t>2.3</w:t>
            </w:r>
          </w:p>
        </w:tc>
        <w:tc>
          <w:tcPr>
            <w:tcW w:w="284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Manner of execution of subsidy programme  [Section 4(</w:t>
            </w:r>
            <w:proofErr w:type="spellStart"/>
            <w:r w:rsidRPr="00640EEA">
              <w:rPr>
                <w:rFonts w:ascii="Arial" w:eastAsiaTheme="minorHAnsi" w:hAnsi="Arial" w:cs="Arial"/>
                <w:b/>
                <w:bCs/>
                <w:sz w:val="24"/>
                <w:szCs w:val="24"/>
                <w:lang w:val="en-IN" w:bidi="hi-IN"/>
              </w:rPr>
              <w:t>i</w:t>
            </w:r>
            <w:proofErr w:type="spellEnd"/>
            <w:r w:rsidRPr="00640EEA">
              <w:rPr>
                <w:rFonts w:ascii="Arial" w:eastAsiaTheme="minorHAnsi" w:hAnsi="Arial" w:cs="Arial"/>
                <w:b/>
                <w:bCs/>
                <w:sz w:val="24"/>
                <w:szCs w:val="24"/>
                <w:lang w:val="en-IN" w:bidi="hi-IN"/>
              </w:rPr>
              <w:t>)(b)(xii)]</w:t>
            </w: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w:t>
            </w:r>
            <w:proofErr w:type="spellStart"/>
            <w:r w:rsidRPr="00640EEA">
              <w:rPr>
                <w:rFonts w:ascii="Arial" w:eastAsiaTheme="minorHAnsi" w:hAnsi="Arial" w:cs="Arial"/>
                <w:b/>
                <w:bCs/>
                <w:sz w:val="24"/>
                <w:szCs w:val="24"/>
                <w:lang w:val="en-IN" w:bidi="hi-IN"/>
              </w:rPr>
              <w:t>i</w:t>
            </w:r>
            <w:proofErr w:type="spellEnd"/>
            <w:r w:rsidRPr="00640EEA">
              <w:rPr>
                <w:rFonts w:ascii="Arial" w:eastAsiaTheme="minorHAnsi" w:hAnsi="Arial" w:cs="Arial"/>
                <w:b/>
                <w:bCs/>
                <w:sz w:val="24"/>
                <w:szCs w:val="24"/>
                <w:lang w:val="en-IN" w:bidi="hi-IN"/>
              </w:rPr>
              <w:t>)Name of the programme of activity</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There are no subsidy programs or plans carried out by bank, however government subsidy program / scheme for lending activities are operated through the bank account maintained with various branches, the subsidy amount is transferred to the concerned beneficiary through DBT</w:t>
            </w:r>
            <w:r>
              <w:rPr>
                <w:rFonts w:ascii="Arial" w:hAnsi="Arial" w:cs="Arial"/>
                <w:sz w:val="24"/>
                <w:szCs w:val="24"/>
              </w:rPr>
              <w:t xml:space="preserve"> </w:t>
            </w:r>
            <w:r w:rsidRPr="00C715EA">
              <w:rPr>
                <w:rFonts w:ascii="Arial" w:hAnsi="Arial" w:cs="Arial"/>
                <w:sz w:val="24"/>
                <w:szCs w:val="24"/>
              </w:rPr>
              <w:t>(Direct benefit transfer) of the Bank.</w:t>
            </w:r>
          </w:p>
        </w:tc>
      </w:tr>
      <w:tr w:rsidR="00A61040" w:rsidRPr="00FE39EA" w:rsidTr="006A0466">
        <w:trPr>
          <w:trHeight w:val="422"/>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(ii) Objective of the programme</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407"/>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(iii)Procedure to avail benefits</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407"/>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(iv)Duration of the programme/ scheme</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189"/>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(v)  Physical and financial targets of programme</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400"/>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(vi)Nature/scale of subsidy/amount allotted</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407"/>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(vii)Eligibility criteria for grant of subsidy</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537"/>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 xml:space="preserve">(viii) Details of beneficiaries of subsidy programme (number, profile </w:t>
            </w:r>
            <w:proofErr w:type="spellStart"/>
            <w:r w:rsidRPr="00640EEA">
              <w:rPr>
                <w:rFonts w:ascii="Arial" w:eastAsiaTheme="minorHAnsi" w:hAnsi="Arial" w:cs="Arial"/>
                <w:b/>
                <w:bCs/>
                <w:sz w:val="24"/>
                <w:szCs w:val="24"/>
                <w:lang w:val="en-IN" w:bidi="hi-IN"/>
              </w:rPr>
              <w:t>etc</w:t>
            </w:r>
            <w:proofErr w:type="spellEnd"/>
            <w:r w:rsidRPr="00640EEA">
              <w:rPr>
                <w:rFonts w:ascii="Arial" w:eastAsiaTheme="minorHAnsi" w:hAnsi="Arial" w:cs="Arial"/>
                <w:b/>
                <w:bCs/>
                <w:sz w:val="24"/>
                <w:szCs w:val="24"/>
                <w:lang w:val="en-IN" w:bidi="hi-IN"/>
              </w:rPr>
              <w:t>)</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557"/>
        </w:trPr>
        <w:tc>
          <w:tcPr>
            <w:tcW w:w="85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2.4</w:t>
            </w:r>
          </w:p>
        </w:tc>
        <w:tc>
          <w:tcPr>
            <w:tcW w:w="2844" w:type="dxa"/>
            <w:vMerge w:val="restart"/>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Discretionary</w:t>
            </w:r>
            <w:r w:rsidRPr="00640EEA">
              <w:rPr>
                <w:rFonts w:ascii="Arial" w:eastAsiaTheme="minorHAnsi" w:hAnsi="Arial" w:cs="Arial"/>
                <w:b/>
                <w:bCs/>
                <w:sz w:val="24"/>
                <w:szCs w:val="24"/>
                <w:lang w:val="en-IN" w:bidi="hi-IN"/>
              </w:rPr>
              <w:tab/>
              <w:t xml:space="preserve">and non- discretionary </w:t>
            </w:r>
            <w:r w:rsidRPr="00640EEA">
              <w:rPr>
                <w:rFonts w:ascii="Arial" w:eastAsiaTheme="minorHAnsi" w:hAnsi="Arial" w:cs="Arial"/>
                <w:b/>
                <w:bCs/>
                <w:sz w:val="24"/>
                <w:szCs w:val="24"/>
                <w:lang w:val="en-IN" w:bidi="hi-IN"/>
              </w:rPr>
              <w:lastRenderedPageBreak/>
              <w:t>grants [</w:t>
            </w:r>
            <w:proofErr w:type="spellStart"/>
            <w:r w:rsidRPr="00640EEA">
              <w:rPr>
                <w:rFonts w:ascii="Arial" w:eastAsiaTheme="minorHAnsi" w:hAnsi="Arial" w:cs="Arial"/>
                <w:b/>
                <w:bCs/>
                <w:sz w:val="24"/>
                <w:szCs w:val="24"/>
                <w:lang w:val="en-IN" w:bidi="hi-IN"/>
              </w:rPr>
              <w:t>F.No</w:t>
            </w:r>
            <w:proofErr w:type="spellEnd"/>
            <w:r w:rsidRPr="00640EEA">
              <w:rPr>
                <w:rFonts w:ascii="Arial" w:eastAsiaTheme="minorHAnsi" w:hAnsi="Arial" w:cs="Arial"/>
                <w:b/>
                <w:bCs/>
                <w:sz w:val="24"/>
                <w:szCs w:val="24"/>
                <w:lang w:val="en-IN" w:bidi="hi-IN"/>
              </w:rPr>
              <w:t xml:space="preserve">. 1/6/2011-IR </w:t>
            </w:r>
            <w:proofErr w:type="spellStart"/>
            <w:r w:rsidRPr="00640EEA">
              <w:rPr>
                <w:rFonts w:ascii="Arial" w:eastAsiaTheme="minorHAnsi" w:hAnsi="Arial" w:cs="Arial"/>
                <w:b/>
                <w:bCs/>
                <w:sz w:val="24"/>
                <w:szCs w:val="24"/>
                <w:lang w:val="en-IN" w:bidi="hi-IN"/>
              </w:rPr>
              <w:t>dt.</w:t>
            </w:r>
            <w:proofErr w:type="spellEnd"/>
            <w:r w:rsidRPr="00640EEA">
              <w:rPr>
                <w:rFonts w:ascii="Arial" w:eastAsiaTheme="minorHAnsi" w:hAnsi="Arial" w:cs="Arial"/>
                <w:b/>
                <w:bCs/>
                <w:sz w:val="24"/>
                <w:szCs w:val="24"/>
                <w:lang w:val="en-IN" w:bidi="hi-IN"/>
              </w:rPr>
              <w:t xml:space="preserve"> 15.04.2013]</w:t>
            </w: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lastRenderedPageBreak/>
              <w:t>(</w:t>
            </w:r>
            <w:proofErr w:type="spellStart"/>
            <w:r w:rsidRPr="00640EEA">
              <w:rPr>
                <w:rFonts w:ascii="Arial" w:eastAsiaTheme="minorHAnsi" w:hAnsi="Arial" w:cs="Arial"/>
                <w:b/>
                <w:bCs/>
                <w:sz w:val="24"/>
                <w:szCs w:val="24"/>
                <w:lang w:val="en-IN" w:bidi="hi-IN"/>
              </w:rPr>
              <w:t>i</w:t>
            </w:r>
            <w:proofErr w:type="spellEnd"/>
            <w:r w:rsidRPr="00640EEA">
              <w:rPr>
                <w:rFonts w:ascii="Arial" w:eastAsiaTheme="minorHAnsi" w:hAnsi="Arial" w:cs="Arial"/>
                <w:b/>
                <w:bCs/>
                <w:sz w:val="24"/>
                <w:szCs w:val="24"/>
                <w:lang w:val="en-IN" w:bidi="hi-IN"/>
              </w:rPr>
              <w:t xml:space="preserve">)Discretionary and non-discretionary grants/allocations </w:t>
            </w:r>
            <w:r w:rsidRPr="00640EEA">
              <w:rPr>
                <w:rFonts w:ascii="Arial" w:eastAsiaTheme="minorHAnsi" w:hAnsi="Arial" w:cs="Arial"/>
                <w:b/>
                <w:bCs/>
                <w:sz w:val="24"/>
                <w:szCs w:val="24"/>
                <w:lang w:val="en-IN" w:bidi="hi-IN"/>
              </w:rPr>
              <w:lastRenderedPageBreak/>
              <w:t>to State Govt./ NGOs/other institutions</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lastRenderedPageBreak/>
              <w:t>Not applicable</w:t>
            </w:r>
          </w:p>
        </w:tc>
      </w:tr>
      <w:tr w:rsidR="00A61040" w:rsidRPr="00FE39EA" w:rsidTr="006A0466">
        <w:trPr>
          <w:trHeight w:val="608"/>
        </w:trPr>
        <w:tc>
          <w:tcPr>
            <w:tcW w:w="85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Borders>
              <w:top w:val="nil"/>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adjustRightInd w:val="0"/>
              <w:spacing w:before="240" w:after="240" w:line="276" w:lineRule="auto"/>
              <w:ind w:left="5"/>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(ii)Annual accounts of all legal entities who are provided grants by public authorities</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635"/>
        </w:trPr>
        <w:tc>
          <w:tcPr>
            <w:tcW w:w="854" w:type="dxa"/>
            <w:vMerge w:val="restart"/>
            <w:tcBorders>
              <w:bottom w:val="single" w:sz="4" w:space="0" w:color="000000"/>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2.5</w:t>
            </w:r>
          </w:p>
        </w:tc>
        <w:tc>
          <w:tcPr>
            <w:tcW w:w="2844" w:type="dxa"/>
            <w:vMerge w:val="restart"/>
            <w:tcBorders>
              <w:bottom w:val="single" w:sz="4" w:space="0" w:color="000000"/>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Particulars</w:t>
            </w:r>
            <w:r w:rsidRPr="00640EEA">
              <w:rPr>
                <w:rFonts w:ascii="Arial" w:eastAsiaTheme="minorHAnsi" w:hAnsi="Arial" w:cs="Arial"/>
                <w:b/>
                <w:bCs/>
                <w:sz w:val="24"/>
                <w:szCs w:val="24"/>
                <w:lang w:val="en-IN" w:bidi="hi-IN"/>
              </w:rPr>
              <w:tab/>
              <w:t>of  Recipients of concessions, permits of authorizations granted by the public authority [Section 4(1) (b) (xiii)]</w:t>
            </w:r>
          </w:p>
        </w:tc>
        <w:tc>
          <w:tcPr>
            <w:tcW w:w="3686" w:type="dxa"/>
            <w:tcBorders>
              <w:bottom w:val="single" w:sz="4" w:space="0" w:color="000000"/>
            </w:tcBorders>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Concessions, permits or authorizations granted by public authority</w:t>
            </w:r>
          </w:p>
        </w:tc>
        <w:tc>
          <w:tcPr>
            <w:tcW w:w="11186" w:type="dxa"/>
            <w:tcBorders>
              <w:bottom w:val="single" w:sz="4" w:space="0" w:color="000000"/>
            </w:tcBorders>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val="2602"/>
        </w:trPr>
        <w:tc>
          <w:tcPr>
            <w:tcW w:w="85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2844" w:type="dxa"/>
            <w:vMerge/>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p>
        </w:tc>
        <w:tc>
          <w:tcPr>
            <w:tcW w:w="3686" w:type="dxa"/>
          </w:tcPr>
          <w:p w:rsidR="00A61040" w:rsidRPr="00640EEA" w:rsidRDefault="00A61040" w:rsidP="006A0466">
            <w:pPr>
              <w:pStyle w:val="TableParagraph"/>
              <w:widowControl/>
              <w:tabs>
                <w:tab w:val="left" w:pos="719"/>
                <w:tab w:val="left" w:pos="4248"/>
                <w:tab w:val="left" w:pos="6066"/>
              </w:tabs>
              <w:adjustRightInd w:val="0"/>
              <w:spacing w:before="240" w:after="240" w:line="276" w:lineRule="auto"/>
              <w:ind w:left="-1"/>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For each concessions, permit  or authorization granted</w:t>
            </w:r>
            <w:r>
              <w:rPr>
                <w:rFonts w:ascii="Arial" w:eastAsiaTheme="minorHAnsi" w:hAnsi="Arial" w:cs="Arial"/>
                <w:b/>
                <w:bCs/>
                <w:sz w:val="24"/>
                <w:szCs w:val="24"/>
                <w:lang w:val="en-IN" w:bidi="hi-IN"/>
              </w:rPr>
              <w:t xml:space="preserve"> </w:t>
            </w:r>
            <w:r w:rsidRPr="00640EEA">
              <w:rPr>
                <w:rFonts w:ascii="Arial" w:eastAsiaTheme="minorHAnsi" w:hAnsi="Arial" w:cs="Arial"/>
                <w:b/>
                <w:bCs/>
                <w:sz w:val="24"/>
                <w:szCs w:val="24"/>
                <w:lang w:val="en-IN" w:bidi="hi-IN"/>
              </w:rPr>
              <w:t>Eligibility criteria Procedure for getting the concession/ grant and/ or permits of authorizations</w:t>
            </w:r>
          </w:p>
          <w:p w:rsidR="00A61040" w:rsidRPr="00640EEA" w:rsidRDefault="00A61040" w:rsidP="006A0466">
            <w:pPr>
              <w:pStyle w:val="TableParagraph"/>
              <w:widowControl/>
              <w:adjustRightInd w:val="0"/>
              <w:spacing w:before="240" w:after="240" w:line="276" w:lineRule="auto"/>
              <w:ind w:left="-1"/>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Name and address of the recipients given concessions/ permits</w:t>
            </w:r>
            <w:r>
              <w:rPr>
                <w:rFonts w:ascii="Arial" w:eastAsiaTheme="minorHAnsi" w:hAnsi="Arial" w:cs="Arial"/>
                <w:b/>
                <w:bCs/>
                <w:sz w:val="24"/>
                <w:szCs w:val="24"/>
                <w:lang w:val="en-IN" w:bidi="hi-IN"/>
              </w:rPr>
              <w:t xml:space="preserve"> </w:t>
            </w:r>
            <w:r w:rsidRPr="00640EEA">
              <w:rPr>
                <w:rFonts w:ascii="Arial" w:eastAsiaTheme="minorHAnsi" w:hAnsi="Arial" w:cs="Arial"/>
                <w:b/>
                <w:bCs/>
                <w:sz w:val="24"/>
                <w:szCs w:val="24"/>
                <w:lang w:val="en-IN" w:bidi="hi-IN"/>
              </w:rPr>
              <w:t>or authorizations Date of award</w:t>
            </w:r>
            <w:r>
              <w:rPr>
                <w:rFonts w:ascii="Arial" w:eastAsiaTheme="minorHAnsi" w:hAnsi="Arial" w:cs="Arial"/>
                <w:b/>
                <w:bCs/>
                <w:sz w:val="24"/>
                <w:szCs w:val="24"/>
                <w:lang w:val="en-IN" w:bidi="hi-IN"/>
              </w:rPr>
              <w:t xml:space="preserve"> </w:t>
            </w:r>
            <w:r w:rsidRPr="00640EEA">
              <w:rPr>
                <w:rFonts w:ascii="Arial" w:eastAsiaTheme="minorHAnsi" w:hAnsi="Arial" w:cs="Arial"/>
                <w:b/>
                <w:bCs/>
                <w:sz w:val="24"/>
                <w:szCs w:val="24"/>
                <w:lang w:val="en-IN" w:bidi="hi-IN"/>
              </w:rPr>
              <w:t>of concessions /permits of authorizations</w:t>
            </w:r>
          </w:p>
        </w:tc>
        <w:tc>
          <w:tcPr>
            <w:tcW w:w="11186" w:type="dxa"/>
          </w:tcPr>
          <w:p w:rsidR="00A61040" w:rsidRPr="00C715EA" w:rsidRDefault="00A61040" w:rsidP="006A0466">
            <w:pPr>
              <w:pStyle w:val="TableParagraph"/>
              <w:spacing w:before="240" w:after="240" w:line="276" w:lineRule="auto"/>
              <w:ind w:left="6"/>
              <w:jc w:val="both"/>
              <w:rPr>
                <w:rFonts w:ascii="Arial" w:hAnsi="Arial" w:cs="Arial"/>
                <w:sz w:val="24"/>
                <w:szCs w:val="24"/>
              </w:rPr>
            </w:pPr>
            <w:r w:rsidRPr="00C715EA">
              <w:rPr>
                <w:rFonts w:ascii="Arial" w:hAnsi="Arial" w:cs="Arial"/>
                <w:sz w:val="24"/>
                <w:szCs w:val="24"/>
              </w:rPr>
              <w:t>Not applicable</w:t>
            </w:r>
          </w:p>
        </w:tc>
      </w:tr>
      <w:tr w:rsidR="00A61040" w:rsidRPr="00FE39EA" w:rsidTr="006A0466">
        <w:trPr>
          <w:trHeight w:hRule="exact" w:val="2087"/>
        </w:trPr>
        <w:tc>
          <w:tcPr>
            <w:tcW w:w="854"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2.6</w:t>
            </w:r>
          </w:p>
        </w:tc>
        <w:tc>
          <w:tcPr>
            <w:tcW w:w="2844"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CAG &amp;PAC</w:t>
            </w:r>
            <w:r w:rsidRPr="00640EEA">
              <w:rPr>
                <w:rFonts w:ascii="Arial" w:eastAsiaTheme="minorHAnsi" w:hAnsi="Arial" w:cs="Arial"/>
                <w:b/>
                <w:bCs/>
                <w:sz w:val="24"/>
                <w:szCs w:val="24"/>
                <w:lang w:val="en-IN" w:bidi="hi-IN"/>
              </w:rPr>
              <w:tab/>
              <w:t>paras [</w:t>
            </w:r>
            <w:proofErr w:type="spellStart"/>
            <w:r w:rsidRPr="00640EEA">
              <w:rPr>
                <w:rFonts w:ascii="Arial" w:eastAsiaTheme="minorHAnsi" w:hAnsi="Arial" w:cs="Arial"/>
                <w:b/>
                <w:bCs/>
                <w:sz w:val="24"/>
                <w:szCs w:val="24"/>
                <w:lang w:val="en-IN" w:bidi="hi-IN"/>
              </w:rPr>
              <w:t>F.No</w:t>
            </w:r>
            <w:proofErr w:type="spellEnd"/>
            <w:r w:rsidRPr="00640EEA">
              <w:rPr>
                <w:rFonts w:ascii="Arial" w:eastAsiaTheme="minorHAnsi" w:hAnsi="Arial" w:cs="Arial"/>
                <w:b/>
                <w:bCs/>
                <w:sz w:val="24"/>
                <w:szCs w:val="24"/>
                <w:lang w:val="en-IN" w:bidi="hi-IN"/>
              </w:rPr>
              <w:t xml:space="preserve">. 1/6/2011- IR </w:t>
            </w:r>
            <w:proofErr w:type="spellStart"/>
            <w:r w:rsidRPr="00640EEA">
              <w:rPr>
                <w:rFonts w:ascii="Arial" w:eastAsiaTheme="minorHAnsi" w:hAnsi="Arial" w:cs="Arial"/>
                <w:b/>
                <w:bCs/>
                <w:sz w:val="24"/>
                <w:szCs w:val="24"/>
                <w:lang w:val="en-IN" w:bidi="hi-IN"/>
              </w:rPr>
              <w:t>dt.</w:t>
            </w:r>
            <w:proofErr w:type="spellEnd"/>
            <w:r w:rsidRPr="00640EEA">
              <w:rPr>
                <w:rFonts w:ascii="Arial" w:eastAsiaTheme="minorHAnsi" w:hAnsi="Arial" w:cs="Arial"/>
                <w:b/>
                <w:bCs/>
                <w:sz w:val="24"/>
                <w:szCs w:val="24"/>
                <w:lang w:val="en-IN" w:bidi="hi-IN"/>
              </w:rPr>
              <w:t xml:space="preserve"> 15.4.2013]</w:t>
            </w:r>
          </w:p>
        </w:tc>
        <w:tc>
          <w:tcPr>
            <w:tcW w:w="3686" w:type="dxa"/>
          </w:tcPr>
          <w:p w:rsidR="00A61040" w:rsidRPr="00640EEA" w:rsidRDefault="00A61040" w:rsidP="006A0466">
            <w:pPr>
              <w:widowControl/>
              <w:adjustRightInd w:val="0"/>
              <w:spacing w:before="240" w:after="240" w:line="276" w:lineRule="auto"/>
              <w:rPr>
                <w:rFonts w:ascii="Arial" w:eastAsiaTheme="minorHAnsi" w:hAnsi="Arial" w:cs="Arial"/>
                <w:b/>
                <w:bCs/>
                <w:sz w:val="24"/>
                <w:szCs w:val="24"/>
                <w:lang w:val="en-IN" w:bidi="hi-IN"/>
              </w:rPr>
            </w:pPr>
            <w:r w:rsidRPr="00640EEA">
              <w:rPr>
                <w:rFonts w:ascii="Arial" w:eastAsiaTheme="minorHAnsi" w:hAnsi="Arial" w:cs="Arial"/>
                <w:b/>
                <w:bCs/>
                <w:sz w:val="24"/>
                <w:szCs w:val="24"/>
                <w:lang w:val="en-IN" w:bidi="hi-IN"/>
              </w:rPr>
              <w:t>CAG and PAC paras and the action taken reports (ATRs) after these have been laid on the table of both houses of the parliament.</w:t>
            </w:r>
          </w:p>
        </w:tc>
        <w:tc>
          <w:tcPr>
            <w:tcW w:w="11186" w:type="dxa"/>
          </w:tcPr>
          <w:p w:rsidR="00A61040" w:rsidRPr="00FE39EA" w:rsidRDefault="002F1B85" w:rsidP="006A0466">
            <w:pPr>
              <w:pStyle w:val="TableParagraph"/>
              <w:spacing w:before="240" w:after="240" w:line="276" w:lineRule="auto"/>
              <w:ind w:left="-1"/>
              <w:jc w:val="both"/>
              <w:rPr>
                <w:rFonts w:ascii="Century" w:hAnsi="Century" w:cs="Times New Roman"/>
                <w:sz w:val="24"/>
                <w:szCs w:val="24"/>
              </w:rPr>
            </w:pPr>
            <w:r w:rsidRPr="002F1B85">
              <w:rPr>
                <w:rFonts w:ascii="Arial" w:hAnsi="Arial" w:cs="Arial"/>
                <w:sz w:val="24"/>
                <w:szCs w:val="24"/>
              </w:rPr>
              <w:t xml:space="preserve">Audited Report 2023-24, </w:t>
            </w:r>
            <w:hyperlink r:id="rId10" w:history="1">
              <w:r w:rsidRPr="002F1B85">
                <w:rPr>
                  <w:rStyle w:val="Hyperlink"/>
                  <w:rFonts w:ascii="Arial" w:hAnsi="Arial" w:cs="Arial"/>
                  <w:sz w:val="24"/>
                  <w:szCs w:val="24"/>
                </w:rPr>
                <w:t>Annual Report 2023-24.pdf</w:t>
              </w:r>
            </w:hyperlink>
          </w:p>
        </w:tc>
      </w:tr>
    </w:tbl>
    <w:p w:rsidR="00DE21D4" w:rsidRDefault="00DE21D4"/>
    <w:sectPr w:rsidR="00DE21D4" w:rsidSect="00F957C1">
      <w:pgSz w:w="20160" w:h="12240" w:orient="landscape" w:code="5"/>
      <w:pgMar w:top="720" w:right="720" w:bottom="720" w:left="720"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19E"/>
    <w:multiLevelType w:val="hybridMultilevel"/>
    <w:tmpl w:val="53626D5E"/>
    <w:lvl w:ilvl="0" w:tplc="F800E4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65"/>
    <w:rsid w:val="0012491F"/>
    <w:rsid w:val="0023074E"/>
    <w:rsid w:val="002F1B85"/>
    <w:rsid w:val="00402B6B"/>
    <w:rsid w:val="00482465"/>
    <w:rsid w:val="006428C8"/>
    <w:rsid w:val="006B5063"/>
    <w:rsid w:val="009047C4"/>
    <w:rsid w:val="00A61040"/>
    <w:rsid w:val="00B17461"/>
    <w:rsid w:val="00CA2564"/>
    <w:rsid w:val="00DE21D4"/>
    <w:rsid w:val="00F63270"/>
    <w:rsid w:val="00F957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DCF5D-E34F-4415-BB9C-CD690B5F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1040"/>
    <w:pPr>
      <w:widowControl w:val="0"/>
      <w:autoSpaceDE w:val="0"/>
      <w:autoSpaceDN w:val="0"/>
      <w:spacing w:after="0" w:line="240" w:lineRule="auto"/>
    </w:pPr>
    <w:rPr>
      <w:rFonts w:ascii="Verdana" w:eastAsia="Verdana" w:hAnsi="Verdana" w:cs="Verdana"/>
      <w:szCs w:val="2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61040"/>
    <w:rPr>
      <w:rFonts w:ascii="Tahoma" w:eastAsia="Tahoma" w:hAnsi="Tahoma" w:cs="Tahoma"/>
      <w:b/>
      <w:bCs/>
      <w:sz w:val="28"/>
      <w:szCs w:val="28"/>
    </w:rPr>
  </w:style>
  <w:style w:type="character" w:customStyle="1" w:styleId="BodyTextChar">
    <w:name w:val="Body Text Char"/>
    <w:basedOn w:val="DefaultParagraphFont"/>
    <w:link w:val="BodyText"/>
    <w:uiPriority w:val="1"/>
    <w:rsid w:val="00A61040"/>
    <w:rPr>
      <w:rFonts w:ascii="Tahoma" w:eastAsia="Tahoma" w:hAnsi="Tahoma" w:cs="Tahoma"/>
      <w:b/>
      <w:bCs/>
      <w:sz w:val="28"/>
      <w:szCs w:val="28"/>
      <w:lang w:val="en-US" w:bidi="ar-SA"/>
    </w:rPr>
  </w:style>
  <w:style w:type="paragraph" w:styleId="ListParagraph">
    <w:name w:val="List Paragraph"/>
    <w:basedOn w:val="Normal"/>
    <w:uiPriority w:val="34"/>
    <w:qFormat/>
    <w:rsid w:val="00A61040"/>
  </w:style>
  <w:style w:type="paragraph" w:customStyle="1" w:styleId="TableParagraph">
    <w:name w:val="Table Paragraph"/>
    <w:basedOn w:val="Normal"/>
    <w:uiPriority w:val="1"/>
    <w:qFormat/>
    <w:rsid w:val="00A61040"/>
  </w:style>
  <w:style w:type="character" w:styleId="Hyperlink">
    <w:name w:val="Hyperlink"/>
    <w:basedOn w:val="DefaultParagraphFont"/>
    <w:uiPriority w:val="99"/>
    <w:unhideWhenUsed/>
    <w:rsid w:val="00A61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yavart-rrb.com/Annaul_Report/Aryavart4thAnnualReport.pdf" TargetMode="External"/><Relationship Id="rId3" Type="http://schemas.openxmlformats.org/officeDocument/2006/relationships/styles" Target="styles.xml"/><Relationship Id="rId7" Type="http://schemas.openxmlformats.org/officeDocument/2006/relationships/hyperlink" Target="https://www.aryavart-rrb.com/images/BALANCE_SHEET_2024.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yavart-rrb.com/images/BALANCE_SHEET_2024.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ryavart-rrb.com/Annual_Report/Annual%20Report%202023-24.pdf" TargetMode="External"/><Relationship Id="rId4" Type="http://schemas.openxmlformats.org/officeDocument/2006/relationships/settings" Target="settings.xml"/><Relationship Id="rId9" Type="http://schemas.openxmlformats.org/officeDocument/2006/relationships/hyperlink" Target="https://www.aryavart-rrb.com/ten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C0058-27DD-4D90-9A01-73B249E3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Aryavart ho</dc:creator>
  <cp:keywords/>
  <dc:description/>
  <cp:lastModifiedBy>ACER</cp:lastModifiedBy>
  <cp:revision>5</cp:revision>
  <dcterms:created xsi:type="dcterms:W3CDTF">2025-05-03T05:50:00Z</dcterms:created>
  <dcterms:modified xsi:type="dcterms:W3CDTF">2025-05-03T05:56:00Z</dcterms:modified>
</cp:coreProperties>
</file>